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CDA195E">
      <w:pPr>
        <w:ind w:firstLine="2570" w:firstLineChars="800"/>
        <w:jc w:val="left"/>
        <w:rPr>
          <w:b/>
          <w:bCs/>
          <w:sz w:val="32"/>
          <w:szCs w:val="28"/>
        </w:rPr>
      </w:pPr>
      <w:r>
        <w:rPr>
          <w:b/>
          <w:bCs/>
          <w:sz w:val="32"/>
          <w:szCs w:val="28"/>
        </w:rPr>
        <w:t xml:space="preserve">第一组 </w:t>
      </w:r>
      <w:r>
        <w:rPr>
          <w:rFonts w:hint="eastAsia"/>
          <w:b/>
          <w:bCs/>
          <w:sz w:val="32"/>
          <w:szCs w:val="28"/>
        </w:rPr>
        <w:t>洪怡婷</w:t>
      </w:r>
    </w:p>
    <w:p w14:paraId="2775424B">
      <w:pPr>
        <w:ind w:left="0" w:leftChars="0" w:firstLine="480" w:firstLineChars="200"/>
        <w:rPr>
          <w:rFonts w:hint="eastAsia"/>
        </w:rPr>
      </w:pPr>
      <w:r>
        <w:rPr>
          <w:rFonts w:hint="eastAsia"/>
        </w:rPr>
        <w:t>作为一名长期奋战在电网生产运行一线技术人员，我有幸参加了由全国总工会和清华大学组织的班组长能力提升培训班。此次培训内容涵盖班组建设、创新方法论、团队沟通等多个维度，不仅是一次系统的知识赋能，更是一场深刻的思想洗礼与格局重塑。我对如何在电网工作中“胸怀大局、扎根实干、追求卓越”有了更深层次的体悟。</w:t>
      </w:r>
    </w:p>
    <w:p w14:paraId="346D1321">
      <w:pPr>
        <w:ind w:firstLine="480"/>
        <w:rPr>
          <w:rFonts w:hint="eastAsia"/>
        </w:rPr>
      </w:pPr>
      <w:r>
        <w:rPr>
          <w:rFonts w:hint="eastAsia"/>
        </w:rPr>
        <w:t>一、胸怀大局，以“高站位”引领技术创新方向</w:t>
      </w:r>
    </w:p>
    <w:p w14:paraId="050329A6">
      <w:pPr>
        <w:ind w:firstLine="480"/>
        <w:rPr>
          <w:rFonts w:hint="eastAsia"/>
        </w:rPr>
      </w:pPr>
      <w:r>
        <w:rPr>
          <w:rFonts w:hint="eastAsia"/>
        </w:rPr>
        <w:t>培训中，高凤林班组“事业为天、技能是地”的价值观深深触动了我。他们承担国家重大工程焊接任务，将个人技能与国家命运紧密相连，生动诠释了“高站位”的深刻内涵。这使我深刻认识到，作为电网企业的技术人员，绝不能局限于设备维护、故障处理的“一亩三分地”，而应主动将工作置于服务国家战略、推动能源转型的大局中考量。</w:t>
      </w:r>
    </w:p>
    <w:p w14:paraId="62A0F3B9">
      <w:pPr>
        <w:ind w:firstLine="480"/>
        <w:rPr>
          <w:rFonts w:hint="eastAsia"/>
        </w:rPr>
      </w:pPr>
      <w:r>
        <w:rPr>
          <w:rFonts w:hint="eastAsia"/>
        </w:rPr>
        <w:t>《创新思维与创新方法》中强调，“创新是从社会学、经济学多维度定义的价值创造活动”。这启示我们，技术创新必须回答“为谁创新、何以创新”的根本问题。当前，新型电力系统建设加速推进，新能源大规模接入、电力电子设备广泛应用，给电网安全稳定运行带来全新挑战。我们必须跳出传统技术路径依赖，以更宽广的视野审视技术变革的方向：如何通过数字化、智能化手段提升电网对分布式能源的接纳能力？如何借鉴“形态分析法”、“TRIZ理论”等系统化创新工具，破解交直流混联电网运行控制的复杂难题？只有将技术创新锚定在服务“双碳”目标、保障能源安全的战略航向上，我们的工作才能真正体现国家电网作为“大国重器”的担当。</w:t>
      </w:r>
    </w:p>
    <w:p w14:paraId="1487DE7C">
      <w:pPr>
        <w:ind w:firstLine="480"/>
        <w:rPr>
          <w:rFonts w:hint="eastAsia"/>
        </w:rPr>
      </w:pPr>
      <w:r>
        <w:rPr>
          <w:rFonts w:hint="eastAsia"/>
        </w:rPr>
        <w:t>二、扎根实干，以“干实事”锤炼过硬能力作风</w:t>
      </w:r>
    </w:p>
    <w:p w14:paraId="266929AE">
      <w:pPr>
        <w:ind w:firstLine="480"/>
        <w:rPr>
          <w:rFonts w:hint="eastAsia"/>
        </w:rPr>
      </w:pPr>
      <w:r>
        <w:rPr>
          <w:rFonts w:hint="eastAsia"/>
        </w:rPr>
        <w:t>高凤林班组将“一次就把事情做对”作为质量理念，通过“两长十员”精细化管理、竞争激励平台、成本管控平台等机制，将“干实事”落到实处。这种严谨细实、追求卓越的作风，正是电网安全生产、精益管理的核心要求。</w:t>
      </w:r>
    </w:p>
    <w:p w14:paraId="60A6DD9F">
      <w:pPr>
        <w:ind w:firstLine="480"/>
        <w:rPr>
          <w:rFonts w:hint="eastAsia"/>
        </w:rPr>
      </w:pPr>
      <w:r>
        <w:rPr>
          <w:rFonts w:hint="eastAsia"/>
        </w:rPr>
        <w:t>《团队建设与高效管理沟通》中关于“沟通风格”、“安抚与心理地位”的剖析，让我对如何高效协同、凝聚合力有了新认识。电网运行涉及调度、运维、检修等多环节、多专业协作，有效的平行沟通、交错沟通处理至关重要。作为技术骨干，既要具备“成人自我”状态的冷静分析与决策能力，确保技术方案的严谨可靠；也要善用“养育型父母”的包容与支持，营造互信互助的团队氛围，激发成员潜能。同时，借鉴“奥斯本检核表法”、“因果分析法”等工具，可以帮助我们在处理现场复杂缺陷、优化运行策略时，更系统、更全面地分析问题根源，避免“头痛医头、脚痛医脚”，实现从“解决表象”到“根治本质”的跨越。</w:t>
      </w:r>
    </w:p>
    <w:p w14:paraId="2D570F65">
      <w:pPr>
        <w:ind w:firstLine="480"/>
        <w:rPr>
          <w:rFonts w:hint="eastAsia"/>
        </w:rPr>
      </w:pPr>
      <w:r>
        <w:rPr>
          <w:rFonts w:hint="eastAsia"/>
        </w:rPr>
        <w:t>三、追求卓越，以“见真功”彰显电网技术价值</w:t>
      </w:r>
    </w:p>
    <w:p w14:paraId="6A0A26BF">
      <w:pPr>
        <w:ind w:firstLine="480"/>
        <w:rPr>
          <w:rFonts w:hint="eastAsia"/>
        </w:rPr>
      </w:pPr>
      <w:r>
        <w:rPr>
          <w:rFonts w:hint="eastAsia"/>
        </w:rPr>
        <w:t>高凤林班组在航天重大工程中攻克数十项工艺难题，获得多项专利与科技大奖，并以“焊接育人法”培养了大量高技能人才，真正做到了“见真功”。这激励我们必须树立“没有走在前列也是一种风险”的紧迫感，将技术优势转化为实实在在的竞争优势和发展优势。</w:t>
      </w:r>
    </w:p>
    <w:p w14:paraId="15DCA21F">
      <w:pPr>
        <w:ind w:firstLine="480"/>
        <w:rPr>
          <w:rFonts w:hint="eastAsia"/>
        </w:rPr>
      </w:pPr>
      <w:r>
        <w:rPr>
          <w:rFonts w:hint="eastAsia"/>
        </w:rPr>
        <w:t>《创新思维与创新方法》中介绍的“S曲线”、“技术系统进化趋势”等理论提示我们，要敏锐洞察技术发展的阶段性特征，敢于在技术成熟期布局下一代技术研发。对于电网而言，就是要紧盯前沿技术动态，在新型储能、氢电耦合、虚拟电厂、电力大数据应用等新兴领域积极布局、率先突破。我们要学习高凤林班组“走出去、请进来、自学习、勤分享”的开放姿态，积极参与行业技术交流，将外部先进经验与电网实际需求相结合，孵化出具有国网特色的创新成果。</w:t>
      </w:r>
    </w:p>
    <w:p w14:paraId="6EB7A2D4">
      <w:pPr>
        <w:ind w:firstLine="480"/>
        <w:rPr>
          <w:rFonts w:hint="eastAsia"/>
        </w:rPr>
      </w:pPr>
      <w:r>
        <w:rPr>
          <w:rFonts w:hint="eastAsia"/>
        </w:rPr>
        <w:t>最终，“见真功”要体现在对电网安全、经济、高效运行的实质性提升上。无论是通过技术革新降低线路损耗、提高供电可靠性，还是通过管理优化提升应急响应速度、改善客户用电体验，亦或是通过人才培养锻造一支能打硬仗、善打胜仗的技术铁军，都是我们追求卓越、彰显价值的具体体现。我们要努力让每一项技术创新、每一次管理优化，都成为构建新型电力系统、服务经济社会发展的坚实台阶。</w:t>
      </w:r>
    </w:p>
    <w:p w14:paraId="3DB7DAA9">
      <w:r>
        <w:rPr>
          <w:rFonts w:hint="eastAsia"/>
        </w:rPr>
        <w:t>此次培训，如同一次深刻的思想淬火与能力锻造。我将把学习成果转化为推动工作的强大动力，自觉将个人成长融入公司发展大局，以“高站位”指引方向，以“干实事”锤炼本领，以“见真功”追求卓越，在电网技术革新与管理提升的广阔舞台上，持续贡献自己的智慧与力量，为建设具有中国特色国际领先的能源互联网企业而不懈奋斗。</w:t>
      </w:r>
      <w:bookmarkStart w:id="0" w:name="_GoBack"/>
      <w:bookmarkEnd w:id="0"/>
    </w:p>
    <w:sectPr>
      <w:pgSz w:w="11906" w:h="16838"/>
      <w:pgMar w:top="1440" w:right="1800" w:bottom="1440" w:left="1800" w:header="851" w:footer="992" w:gutter="0"/>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ind w:firstLine="480"/>
      </w:pPr>
      <w:r>
        <w:separator/>
      </w:r>
    </w:p>
  </w:endnote>
  <w:endnote w:type="continuationSeparator" w:id="1">
    <w:p>
      <w:pPr>
        <w:spacing w:line="240" w:lineRule="auto"/>
        <w:ind w:firstLine="48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28"/>
    <w:family w:val="modern"/>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_GB2312">
    <w:altName w:val="仿宋"/>
    <w:panose1 w:val="02010609030101010101"/>
    <w:charset w:val="86"/>
    <w:family w:val="modern"/>
    <w:pitch w:val="default"/>
    <w:sig w:usb0="00000000" w:usb1="00000000" w:usb2="00000010" w:usb3="00000000" w:csb0="00040000" w:csb1="00000000"/>
  </w:font>
  <w:font w:name="仿宋">
    <w:panose1 w:val="02010609060101010101"/>
    <w:charset w:val="86"/>
    <w:family w:val="auto"/>
    <w:pitch w:val="default"/>
    <w:sig w:usb0="800002BF" w:usb1="38CF7CFA" w:usb2="00000016" w:usb3="00000000" w:csb0="0004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360" w:lineRule="auto"/>
        <w:ind w:firstLine="480"/>
      </w:pPr>
      <w:r>
        <w:separator/>
      </w:r>
    </w:p>
  </w:footnote>
  <w:footnote w:type="continuationSeparator" w:id="1">
    <w:p>
      <w:pPr>
        <w:spacing w:line="360" w:lineRule="auto"/>
        <w:ind w:firstLine="480"/>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50"/>
  <w:doNotDisplayPageBoundaries w:val="1"/>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375F1FAB"/>
    <w:rsid w:val="375F1FA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spacing w:line="360" w:lineRule="auto"/>
      <w:ind w:firstLine="200" w:firstLineChars="200"/>
      <w:jc w:val="both"/>
    </w:pPr>
    <w:rPr>
      <w:rFonts w:ascii="Times New Roman" w:hAnsi="Times New Roman" w:eastAsia="仿宋_GB2312" w:cstheme="minorBidi"/>
      <w:kern w:val="2"/>
      <w:sz w:val="24"/>
      <w:szCs w:val="22"/>
      <w:lang w:val="en-US" w:eastAsia="zh-CN" w:bidi="ar-SA"/>
      <w14:ligatures w14:val="standardContextual"/>
    </w:rPr>
  </w:style>
  <w:style w:type="character" w:default="1" w:styleId="4">
    <w:name w:val="Default Paragraph Font"/>
    <w:semiHidden/>
    <w:uiPriority w:val="0"/>
  </w:style>
  <w:style w:type="table" w:default="1" w:styleId="3">
    <w:name w:val="Normal Table"/>
    <w:semiHidden/>
    <w:qFormat/>
    <w:uiPriority w:val="0"/>
    <w:tblPr>
      <w:tblCellMar>
        <w:top w:w="0" w:type="dxa"/>
        <w:left w:w="108" w:type="dxa"/>
        <w:bottom w:w="0" w:type="dxa"/>
        <w:right w:w="108" w:type="dxa"/>
      </w:tblCellMar>
    </w:tblPr>
  </w:style>
  <w:style w:type="paragraph" w:customStyle="1" w:styleId="2">
    <w:name w:val="Default"/>
    <w:unhideWhenUsed/>
    <w:qFormat/>
    <w:uiPriority w:val="99"/>
    <w:pPr>
      <w:widowControl w:val="0"/>
      <w:autoSpaceDE w:val="0"/>
      <w:autoSpaceDN w:val="0"/>
      <w:adjustRightInd w:val="0"/>
    </w:pPr>
    <w:rPr>
      <w:rFonts w:hint="eastAsia" w:ascii="宋体" w:hAnsi="宋体" w:eastAsia="宋体" w:cs="Times New Roman"/>
      <w:color w:val="000000"/>
      <w:sz w:val="24"/>
      <w:lang w:val="en-US" w:eastAsia="zh-CN" w:bidi="ar-SA"/>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2</Pages>
  <Words>0</Words>
  <Characters>0</Characters>
  <Lines>0</Lines>
  <Paragraphs>0</Paragraphs>
  <TotalTime>0</TotalTime>
  <ScaleCrop>false</ScaleCrop>
  <LinksUpToDate>false</LinksUpToDate>
  <CharactersWithSpaces>0</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2026-01-08T05:27:00Z</dcterms:created>
  <dc:creator>丹丹蛋蛋</dc:creator>
  <cp:lastModifiedBy>丹丹蛋蛋</cp:lastModifiedBy>
  <dcterms:modified xsi:type="dcterms:W3CDTF">2026-01-08T05:27:07Z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ICV">
    <vt:lpwstr>84C61A2804824CA99CE3D832B98CDCA7_11</vt:lpwstr>
  </property>
  <property fmtid="{D5CDD505-2E9C-101B-9397-08002B2CF9AE}" pid="4" name="KSOTemplateDocerSaveRecord">
    <vt:lpwstr>eyJoZGlkIjoiMTNjODgzYTRhY2IyMTQ4YzVmNjgzNzU2ODdlYWQ0MTYiLCJ1c2VySWQiOiIyNjk4Mjg3MjEifQ==</vt:lpwstr>
  </property>
</Properties>
</file>